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36"/>
        </w:rPr>
      </w:pPr>
      <w:r>
        <w:rPr>
          <w:rFonts w:hint="eastAsia"/>
          <w:b/>
          <w:bCs/>
          <w:sz w:val="36"/>
          <w:szCs w:val="36"/>
        </w:rPr>
        <w:t>施工图设计文件审查意见单</w:t>
      </w:r>
    </w:p>
    <w:tbl>
      <w:tblPr>
        <w:tblStyle w:val="4"/>
        <w:tblW w:w="10400"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059"/>
        <w:gridCol w:w="4558"/>
        <w:gridCol w:w="2397"/>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2" w:type="dxa"/>
            <w:gridSpan w:val="2"/>
            <w:vAlign w:val="center"/>
          </w:tcPr>
          <w:p>
            <w:pPr>
              <w:jc w:val="center"/>
              <w:rPr>
                <w:sz w:val="24"/>
                <w:highlight w:val="none"/>
              </w:rPr>
            </w:pPr>
            <w:r>
              <w:rPr>
                <w:rFonts w:hint="eastAsia"/>
                <w:sz w:val="24"/>
                <w:highlight w:val="none"/>
              </w:rPr>
              <w:t>设计单位</w:t>
            </w:r>
          </w:p>
        </w:tc>
        <w:tc>
          <w:tcPr>
            <w:tcW w:w="4558" w:type="dxa"/>
            <w:vAlign w:val="center"/>
          </w:tcPr>
          <w:p>
            <w:pPr>
              <w:jc w:val="center"/>
              <w:rPr>
                <w:sz w:val="24"/>
                <w:highlight w:val="none"/>
              </w:rPr>
            </w:pPr>
            <w:r>
              <w:rPr>
                <w:rFonts w:hint="eastAsia"/>
                <w:sz w:val="24"/>
                <w:highlight w:val="none"/>
              </w:rPr>
              <w:t>-</w:t>
            </w:r>
          </w:p>
        </w:tc>
        <w:tc>
          <w:tcPr>
            <w:tcW w:w="2397" w:type="dxa"/>
            <w:vAlign w:val="center"/>
          </w:tcPr>
          <w:p>
            <w:pPr>
              <w:jc w:val="center"/>
              <w:rPr>
                <w:sz w:val="24"/>
                <w:highlight w:val="none"/>
              </w:rPr>
            </w:pPr>
            <w:r>
              <w:rPr>
                <w:rFonts w:hint="eastAsia" w:ascii="宋体" w:hAnsi="宋体" w:cs="宋体"/>
                <w:sz w:val="24"/>
                <w:highlight w:val="none"/>
              </w:rPr>
              <w:t>项目编号</w:t>
            </w:r>
          </w:p>
        </w:tc>
        <w:tc>
          <w:tcPr>
            <w:tcW w:w="1503" w:type="dxa"/>
            <w:vAlign w:val="center"/>
          </w:tcPr>
          <w:p>
            <w:pPr>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2" w:type="dxa"/>
            <w:gridSpan w:val="2"/>
            <w:vAlign w:val="center"/>
          </w:tcPr>
          <w:p>
            <w:pPr>
              <w:jc w:val="center"/>
              <w:rPr>
                <w:sz w:val="24"/>
                <w:highlight w:val="none"/>
              </w:rPr>
            </w:pPr>
            <w:r>
              <w:rPr>
                <w:rFonts w:hint="eastAsia"/>
                <w:sz w:val="24"/>
                <w:highlight w:val="none"/>
              </w:rPr>
              <w:t>审查项目名称</w:t>
            </w:r>
          </w:p>
        </w:tc>
        <w:tc>
          <w:tcPr>
            <w:tcW w:w="4558" w:type="dxa"/>
            <w:vAlign w:val="center"/>
          </w:tcPr>
          <w:p>
            <w:pPr>
              <w:jc w:val="center"/>
              <w:rPr>
                <w:sz w:val="24"/>
                <w:highlight w:val="none"/>
              </w:rPr>
            </w:pPr>
            <w:r>
              <w:rPr>
                <w:rFonts w:hint="eastAsia"/>
                <w:sz w:val="24"/>
                <w:highlight w:val="none"/>
              </w:rPr>
              <w:t>市教育局广州卫生职业技术学院白云校区基础设施修缮(实训室、网球场、多功能体育场地及门岗等) 维护维修</w:t>
            </w:r>
          </w:p>
        </w:tc>
        <w:tc>
          <w:tcPr>
            <w:tcW w:w="2397" w:type="dxa"/>
            <w:vAlign w:val="center"/>
          </w:tcPr>
          <w:p>
            <w:pPr>
              <w:jc w:val="center"/>
              <w:rPr>
                <w:sz w:val="24"/>
                <w:highlight w:val="none"/>
              </w:rPr>
            </w:pPr>
            <w:r>
              <w:rPr>
                <w:rFonts w:hint="eastAsia"/>
                <w:sz w:val="24"/>
                <w:highlight w:val="none"/>
              </w:rPr>
              <w:t>审查专业</w:t>
            </w:r>
          </w:p>
        </w:tc>
        <w:tc>
          <w:tcPr>
            <w:tcW w:w="1503" w:type="dxa"/>
            <w:vAlign w:val="center"/>
          </w:tcPr>
          <w:p>
            <w:pPr>
              <w:jc w:val="center"/>
              <w:rPr>
                <w:sz w:val="24"/>
                <w:highlight w:val="none"/>
              </w:rPr>
            </w:pPr>
            <w:r>
              <w:rPr>
                <w:rFonts w:hint="eastAsia"/>
                <w:sz w:val="24"/>
                <w:highlight w:val="none"/>
              </w:rPr>
              <w:t>土建-暖通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83" w:type="dxa"/>
            <w:vAlign w:val="center"/>
          </w:tcPr>
          <w:p>
            <w:pPr>
              <w:jc w:val="center"/>
              <w:rPr>
                <w:sz w:val="24"/>
                <w:highlight w:val="none"/>
              </w:rPr>
            </w:pPr>
            <w:r>
              <w:rPr>
                <w:rFonts w:hint="eastAsia"/>
                <w:sz w:val="24"/>
                <w:highlight w:val="none"/>
              </w:rPr>
              <w:t>序号</w:t>
            </w:r>
          </w:p>
        </w:tc>
        <w:tc>
          <w:tcPr>
            <w:tcW w:w="5617" w:type="dxa"/>
            <w:gridSpan w:val="2"/>
            <w:vAlign w:val="center"/>
          </w:tcPr>
          <w:p>
            <w:pPr>
              <w:jc w:val="center"/>
              <w:rPr>
                <w:sz w:val="24"/>
                <w:highlight w:val="none"/>
              </w:rPr>
            </w:pPr>
            <w:r>
              <w:rPr>
                <w:rFonts w:hint="eastAsia"/>
                <w:sz w:val="24"/>
                <w:highlight w:val="none"/>
              </w:rPr>
              <w:t>审查意见概述</w:t>
            </w:r>
          </w:p>
          <w:p>
            <w:pPr>
              <w:jc w:val="center"/>
              <w:rPr>
                <w:sz w:val="24"/>
                <w:highlight w:val="none"/>
              </w:rPr>
            </w:pPr>
            <w:r>
              <w:rPr>
                <w:rFonts w:hint="eastAsia"/>
                <w:sz w:val="24"/>
                <w:highlight w:val="none"/>
              </w:rPr>
              <w:t>（审查人填写）</w:t>
            </w:r>
          </w:p>
        </w:tc>
        <w:tc>
          <w:tcPr>
            <w:tcW w:w="2397" w:type="dxa"/>
            <w:vAlign w:val="center"/>
          </w:tcPr>
          <w:p>
            <w:pPr>
              <w:jc w:val="center"/>
              <w:rPr>
                <w:sz w:val="24"/>
                <w:highlight w:val="none"/>
              </w:rPr>
            </w:pPr>
            <w:r>
              <w:rPr>
                <w:rFonts w:hint="eastAsia"/>
                <w:sz w:val="24"/>
                <w:highlight w:val="none"/>
              </w:rPr>
              <w:t>回复意见</w:t>
            </w:r>
          </w:p>
          <w:p>
            <w:pPr>
              <w:jc w:val="center"/>
              <w:rPr>
                <w:sz w:val="24"/>
                <w:highlight w:val="none"/>
              </w:rPr>
            </w:pPr>
            <w:r>
              <w:rPr>
                <w:rFonts w:hint="eastAsia"/>
                <w:sz w:val="24"/>
                <w:highlight w:val="none"/>
              </w:rPr>
              <w:t>（设计人填写）</w:t>
            </w:r>
          </w:p>
        </w:tc>
        <w:tc>
          <w:tcPr>
            <w:tcW w:w="1503" w:type="dxa"/>
            <w:vAlign w:val="center"/>
          </w:tcPr>
          <w:p>
            <w:pPr>
              <w:jc w:val="center"/>
              <w:rPr>
                <w:sz w:val="24"/>
                <w:highlight w:val="none"/>
              </w:rPr>
            </w:pPr>
            <w:r>
              <w:rPr>
                <w:rFonts w:hint="eastAsia"/>
                <w:sz w:val="24"/>
                <w:highlight w:val="none"/>
              </w:rPr>
              <w:t>修改落实情况（审查人填写）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vAlign w:val="center"/>
          </w:tcPr>
          <w:p>
            <w:pPr>
              <w:jc w:val="center"/>
              <w:rPr>
                <w:b/>
                <w:bCs/>
                <w:sz w:val="24"/>
                <w:highlight w:val="none"/>
              </w:rPr>
            </w:pPr>
            <w:r>
              <w:rPr>
                <w:rFonts w:hint="eastAsia"/>
                <w:b/>
                <w:bCs/>
                <w:sz w:val="24"/>
                <w:highlight w:val="none"/>
              </w:rPr>
              <w:t>一</w:t>
            </w:r>
          </w:p>
        </w:tc>
        <w:tc>
          <w:tcPr>
            <w:tcW w:w="5617" w:type="dxa"/>
            <w:gridSpan w:val="2"/>
            <w:vAlign w:val="center"/>
          </w:tcPr>
          <w:p>
            <w:pPr>
              <w:jc w:val="left"/>
              <w:rPr>
                <w:sz w:val="24"/>
                <w:highlight w:val="none"/>
              </w:rPr>
            </w:pPr>
            <w:r>
              <w:rPr>
                <w:rFonts w:hint="eastAsia"/>
                <w:b/>
                <w:bCs/>
                <w:sz w:val="24"/>
                <w:highlight w:val="none"/>
              </w:rPr>
              <w:t>违反建设工程强制性条文方面：</w:t>
            </w:r>
          </w:p>
        </w:tc>
        <w:tc>
          <w:tcPr>
            <w:tcW w:w="2397" w:type="dxa"/>
            <w:vAlign w:val="center"/>
          </w:tcPr>
          <w:p>
            <w:pPr>
              <w:jc w:val="left"/>
              <w:rPr>
                <w:b/>
                <w:bCs/>
                <w:sz w:val="24"/>
                <w:highlight w:val="none"/>
              </w:rPr>
            </w:pPr>
          </w:p>
        </w:tc>
        <w:tc>
          <w:tcPr>
            <w:tcW w:w="1503" w:type="dxa"/>
            <w:vAlign w:val="center"/>
          </w:tcPr>
          <w:p>
            <w:pPr>
              <w:jc w:val="left"/>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vAlign w:val="center"/>
          </w:tcPr>
          <w:p>
            <w:pPr>
              <w:jc w:val="center"/>
              <w:rPr>
                <w:sz w:val="24"/>
                <w:highlight w:val="none"/>
              </w:rPr>
            </w:pPr>
            <w:r>
              <w:rPr>
                <w:rFonts w:hint="eastAsia"/>
                <w:sz w:val="24"/>
                <w:highlight w:val="none"/>
              </w:rPr>
              <w:t>1</w:t>
            </w:r>
          </w:p>
        </w:tc>
        <w:tc>
          <w:tcPr>
            <w:tcW w:w="5617" w:type="dxa"/>
            <w:gridSpan w:val="2"/>
            <w:vAlign w:val="center"/>
          </w:tcPr>
          <w:p>
            <w:pPr>
              <w:jc w:val="left"/>
              <w:rPr>
                <w:b/>
                <w:sz w:val="24"/>
                <w:highlight w:val="none"/>
              </w:rPr>
            </w:pPr>
            <w:r>
              <w:rPr>
                <w:rFonts w:hint="eastAsia"/>
                <w:b/>
                <w:sz w:val="24"/>
                <w:highlight w:val="none"/>
              </w:rPr>
              <w:t>-</w:t>
            </w:r>
          </w:p>
        </w:tc>
        <w:tc>
          <w:tcPr>
            <w:tcW w:w="2397" w:type="dxa"/>
            <w:vAlign w:val="center"/>
          </w:tcPr>
          <w:p>
            <w:pPr>
              <w:jc w:val="left"/>
              <w:rPr>
                <w:sz w:val="22"/>
                <w:highlight w:val="none"/>
              </w:rPr>
            </w:pPr>
          </w:p>
        </w:tc>
        <w:tc>
          <w:tcPr>
            <w:tcW w:w="1503" w:type="dxa"/>
            <w:vAlign w:val="center"/>
          </w:tcPr>
          <w:p>
            <w:pPr>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vAlign w:val="center"/>
          </w:tcPr>
          <w:p>
            <w:pPr>
              <w:jc w:val="center"/>
              <w:rPr>
                <w:b/>
                <w:bCs/>
                <w:sz w:val="24"/>
                <w:highlight w:val="none"/>
              </w:rPr>
            </w:pPr>
            <w:r>
              <w:rPr>
                <w:rFonts w:hint="eastAsia"/>
                <w:b/>
                <w:bCs/>
                <w:sz w:val="24"/>
                <w:highlight w:val="none"/>
              </w:rPr>
              <w:t>二</w:t>
            </w:r>
          </w:p>
        </w:tc>
        <w:tc>
          <w:tcPr>
            <w:tcW w:w="5617" w:type="dxa"/>
            <w:gridSpan w:val="2"/>
            <w:vAlign w:val="center"/>
          </w:tcPr>
          <w:p>
            <w:pPr>
              <w:jc w:val="left"/>
              <w:rPr>
                <w:sz w:val="24"/>
                <w:highlight w:val="none"/>
              </w:rPr>
            </w:pPr>
            <w:r>
              <w:rPr>
                <w:rFonts w:hint="eastAsia"/>
                <w:b/>
                <w:bCs/>
                <w:sz w:val="24"/>
                <w:highlight w:val="none"/>
              </w:rPr>
              <w:t>违反专业规范、规程和设计深度不足方面：</w:t>
            </w:r>
          </w:p>
        </w:tc>
        <w:tc>
          <w:tcPr>
            <w:tcW w:w="2397" w:type="dxa"/>
            <w:vAlign w:val="center"/>
          </w:tcPr>
          <w:p>
            <w:pPr>
              <w:jc w:val="left"/>
              <w:rPr>
                <w:sz w:val="24"/>
                <w:highlight w:val="none"/>
              </w:rPr>
            </w:pPr>
          </w:p>
        </w:tc>
        <w:tc>
          <w:tcPr>
            <w:tcW w:w="1503" w:type="dxa"/>
            <w:vAlign w:val="center"/>
          </w:tcPr>
          <w:p>
            <w:pPr>
              <w:jc w:val="left"/>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vAlign w:val="center"/>
          </w:tcPr>
          <w:p>
            <w:pPr>
              <w:jc w:val="center"/>
              <w:rPr>
                <w:sz w:val="24"/>
                <w:highlight w:val="none"/>
              </w:rPr>
            </w:pPr>
            <w:r>
              <w:rPr>
                <w:rFonts w:hint="eastAsia"/>
                <w:sz w:val="24"/>
                <w:highlight w:val="none"/>
              </w:rPr>
              <w:t>1</w:t>
            </w:r>
          </w:p>
        </w:tc>
        <w:tc>
          <w:tcPr>
            <w:tcW w:w="5617" w:type="dxa"/>
            <w:gridSpan w:val="2"/>
            <w:vAlign w:val="center"/>
          </w:tcPr>
          <w:p>
            <w:pPr>
              <w:widowControl/>
              <w:jc w:val="left"/>
              <w:rPr>
                <w:rFonts w:ascii="宋体" w:hAnsi="宋体" w:cs="宋体"/>
                <w:kern w:val="0"/>
                <w:sz w:val="24"/>
                <w:highlight w:val="none"/>
              </w:rPr>
            </w:pPr>
            <w:r>
              <w:rPr>
                <w:rFonts w:hint="eastAsia" w:ascii="宋体" w:hAnsi="宋体" w:cs="宋体"/>
                <w:kern w:val="0"/>
                <w:sz w:val="24"/>
                <w:highlight w:val="none"/>
              </w:rPr>
              <w:t>空调图：</w:t>
            </w:r>
          </w:p>
          <w:p>
            <w:pPr>
              <w:widowControl/>
              <w:jc w:val="left"/>
              <w:rPr>
                <w:rFonts w:ascii="宋体" w:hAnsi="宋体" w:cs="宋体"/>
                <w:kern w:val="0"/>
                <w:sz w:val="24"/>
                <w:highlight w:val="none"/>
              </w:rPr>
            </w:pPr>
            <w:r>
              <w:rPr>
                <w:rFonts w:hint="eastAsia" w:ascii="宋体" w:hAnsi="宋体" w:cs="宋体"/>
                <w:kern w:val="0"/>
                <w:sz w:val="24"/>
                <w:highlight w:val="none"/>
              </w:rPr>
              <w:t>一、设计施工说明：</w:t>
            </w:r>
          </w:p>
          <w:p>
            <w:pPr>
              <w:widowControl/>
              <w:jc w:val="left"/>
              <w:rPr>
                <w:rFonts w:ascii="宋体" w:hAnsi="宋体" w:cs="宋体"/>
                <w:bCs/>
                <w:kern w:val="0"/>
                <w:sz w:val="24"/>
                <w:highlight w:val="none"/>
              </w:rPr>
            </w:pPr>
            <w:r>
              <w:rPr>
                <w:rFonts w:hint="eastAsia" w:ascii="宋体" w:hAnsi="宋体" w:cs="宋体"/>
                <w:kern w:val="0"/>
                <w:sz w:val="24"/>
                <w:highlight w:val="none"/>
              </w:rPr>
              <w:t>1）设计依据补充</w:t>
            </w:r>
            <w:r>
              <w:rPr>
                <w:rFonts w:ascii="宋体" w:hAnsi="宋体" w:cs="宋体"/>
                <w:kern w:val="0"/>
                <w:sz w:val="24"/>
                <w:highlight w:val="none"/>
              </w:rPr>
              <w:t>建筑节能与可再生能源利用通用规范GB 55015-2021、建筑环境通用规范GB 55016-2021、</w:t>
            </w:r>
            <w:r>
              <w:rPr>
                <w:rFonts w:ascii="宋体" w:hAnsi="宋体" w:cs="宋体"/>
                <w:bCs/>
                <w:kern w:val="0"/>
                <w:sz w:val="24"/>
                <w:highlight w:val="none"/>
              </w:rPr>
              <w:t>建筑与市政工程抗震通用规范GB 55002-2021等规范依据。</w:t>
            </w:r>
          </w:p>
          <w:p>
            <w:pPr>
              <w:widowControl/>
              <w:jc w:val="left"/>
              <w:rPr>
                <w:rFonts w:ascii="宋体" w:hAnsi="宋体" w:cs="宋体"/>
                <w:bCs/>
                <w:kern w:val="0"/>
                <w:sz w:val="24"/>
                <w:highlight w:val="none"/>
              </w:rPr>
            </w:pPr>
            <w:r>
              <w:rPr>
                <w:rFonts w:hint="eastAsia" w:ascii="宋体" w:hAnsi="宋体" w:cs="宋体"/>
                <w:bCs/>
                <w:kern w:val="0"/>
                <w:sz w:val="24"/>
                <w:highlight w:val="none"/>
              </w:rPr>
              <w:t>2）未见室外、室外设计参数，需予以补充完善。</w:t>
            </w:r>
          </w:p>
          <w:p>
            <w:pPr>
              <w:widowControl/>
              <w:jc w:val="left"/>
              <w:rPr>
                <w:rFonts w:ascii="宋体" w:hAnsi="宋体" w:cs="宋体"/>
                <w:kern w:val="0"/>
                <w:sz w:val="24"/>
                <w:highlight w:val="none"/>
              </w:rPr>
            </w:pPr>
            <w:r>
              <w:rPr>
                <w:rFonts w:ascii="宋体" w:hAnsi="宋体" w:cs="宋体"/>
                <w:kern w:val="0"/>
                <w:sz w:val="24"/>
                <w:highlight w:val="none"/>
              </w:rPr>
              <w:drawing>
                <wp:inline distT="0" distB="0" distL="0" distR="0">
                  <wp:extent cx="3162300" cy="323850"/>
                  <wp:effectExtent l="19050" t="0" r="0" b="0"/>
                  <wp:docPr id="3" name="图片 3" descr="C:\Users\Administrator\AppData\Roaming\Tencent\Users\29431246\QQ\WinTemp\RichOle\`VLN7K7RW(FI56}}ZRNM4Q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Users\29431246\QQ\WinTemp\RichOle\`VLN7K7RW(FI56}}ZRNM4QW.png"/>
                          <pic:cNvPicPr>
                            <a:picLocks noChangeAspect="1" noChangeArrowheads="1"/>
                          </pic:cNvPicPr>
                        </pic:nvPicPr>
                        <pic:blipFill>
                          <a:blip r:embed="rId7" cstate="print"/>
                          <a:srcRect/>
                          <a:stretch>
                            <a:fillRect/>
                          </a:stretch>
                        </pic:blipFill>
                        <pic:spPr>
                          <a:xfrm>
                            <a:off x="0" y="0"/>
                            <a:ext cx="3162722" cy="324000"/>
                          </a:xfrm>
                          <a:prstGeom prst="rect">
                            <a:avLst/>
                          </a:prstGeom>
                          <a:noFill/>
                          <a:ln w="9525">
                            <a:noFill/>
                            <a:miter lim="800000"/>
                            <a:headEnd/>
                            <a:tailEnd/>
                          </a:ln>
                        </pic:spPr>
                      </pic:pic>
                    </a:graphicData>
                  </a:graphic>
                </wp:inline>
              </w:drawing>
            </w:r>
          </w:p>
          <w:p>
            <w:pPr>
              <w:widowControl/>
              <w:jc w:val="left"/>
              <w:rPr>
                <w:rFonts w:ascii="宋体" w:hAnsi="宋体" w:cs="宋体"/>
                <w:bCs/>
                <w:kern w:val="0"/>
                <w:sz w:val="24"/>
                <w:highlight w:val="none"/>
              </w:rPr>
            </w:pPr>
            <w:r>
              <w:rPr>
                <w:rFonts w:hint="eastAsia" w:ascii="宋体" w:hAnsi="宋体" w:cs="宋体"/>
                <w:bCs/>
                <w:kern w:val="0"/>
                <w:sz w:val="24"/>
                <w:highlight w:val="none"/>
              </w:rPr>
              <w:t>3）主要材料不属于暖通专业的设计内容，需删除。</w:t>
            </w:r>
          </w:p>
          <w:p>
            <w:pPr>
              <w:widowControl/>
              <w:jc w:val="left"/>
              <w:rPr>
                <w:rFonts w:ascii="宋体" w:hAnsi="宋体" w:cs="宋体"/>
                <w:kern w:val="0"/>
                <w:sz w:val="24"/>
                <w:highlight w:val="none"/>
              </w:rPr>
            </w:pPr>
            <w:r>
              <w:rPr>
                <w:rFonts w:ascii="宋体" w:hAnsi="宋体" w:cs="宋体"/>
                <w:kern w:val="0"/>
                <w:sz w:val="24"/>
                <w:highlight w:val="none"/>
              </w:rPr>
              <w:drawing>
                <wp:inline distT="0" distB="0" distL="0" distR="0">
                  <wp:extent cx="3369945" cy="1619885"/>
                  <wp:effectExtent l="19050" t="0" r="1505" b="0"/>
                  <wp:docPr id="8" name="图片 1" descr="C:\Users\Administrator\AppData\Roaming\Tencent\Users\29431246\QQ\WinTemp\RichOle\JM{W6}]F80GI1K89JX[_C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C:\Users\Administrator\AppData\Roaming\Tencent\Users\29431246\QQ\WinTemp\RichOle\JM{W6}]F80GI1K89JX[_CPH.png"/>
                          <pic:cNvPicPr>
                            <a:picLocks noChangeAspect="1" noChangeArrowheads="1"/>
                          </pic:cNvPicPr>
                        </pic:nvPicPr>
                        <pic:blipFill>
                          <a:blip r:embed="rId8" cstate="print"/>
                          <a:srcRect/>
                          <a:stretch>
                            <a:fillRect/>
                          </a:stretch>
                        </pic:blipFill>
                        <pic:spPr>
                          <a:xfrm>
                            <a:off x="0" y="0"/>
                            <a:ext cx="3370345" cy="1620000"/>
                          </a:xfrm>
                          <a:prstGeom prst="rect">
                            <a:avLst/>
                          </a:prstGeom>
                          <a:noFill/>
                          <a:ln w="9525">
                            <a:noFill/>
                            <a:miter lim="800000"/>
                            <a:headEnd/>
                            <a:tailEnd/>
                          </a:ln>
                        </pic:spPr>
                      </pic:pic>
                    </a:graphicData>
                  </a:graphic>
                </wp:inline>
              </w:drawing>
            </w:r>
          </w:p>
          <w:p>
            <w:pPr>
              <w:widowControl/>
              <w:jc w:val="left"/>
              <w:rPr>
                <w:rFonts w:ascii="宋体" w:hAnsi="宋体" w:cs="宋体"/>
                <w:bCs/>
                <w:kern w:val="0"/>
                <w:sz w:val="24"/>
                <w:highlight w:val="none"/>
              </w:rPr>
            </w:pPr>
            <w:r>
              <w:rPr>
                <w:rFonts w:hint="eastAsia" w:ascii="宋体" w:hAnsi="宋体" w:cs="宋体"/>
                <w:kern w:val="0"/>
                <w:sz w:val="24"/>
                <w:highlight w:val="none"/>
              </w:rPr>
              <w:t>4）检测</w:t>
            </w:r>
            <w:r>
              <w:rPr>
                <w:rFonts w:hint="eastAsia" w:ascii="宋体" w:hAnsi="宋体" w:cs="宋体"/>
                <w:bCs/>
                <w:kern w:val="0"/>
                <w:sz w:val="24"/>
                <w:highlight w:val="none"/>
              </w:rPr>
              <w:t>不属于暖通专业的设计内容，需删除。</w:t>
            </w:r>
          </w:p>
          <w:p>
            <w:pPr>
              <w:widowControl/>
              <w:jc w:val="left"/>
              <w:rPr>
                <w:rFonts w:ascii="宋体" w:hAnsi="宋体" w:cs="宋体"/>
                <w:kern w:val="0"/>
                <w:sz w:val="24"/>
                <w:highlight w:val="none"/>
              </w:rPr>
            </w:pPr>
            <w:r>
              <w:rPr>
                <w:rFonts w:ascii="宋体" w:hAnsi="宋体" w:cs="宋体"/>
                <w:kern w:val="0"/>
                <w:sz w:val="24"/>
                <w:highlight w:val="none"/>
              </w:rPr>
              <w:drawing>
                <wp:inline distT="0" distB="0" distL="0" distR="0">
                  <wp:extent cx="2296160" cy="1475740"/>
                  <wp:effectExtent l="19050" t="0" r="8431" b="0"/>
                  <wp:docPr id="9" name="图片 3" descr="C:\Users\Administrator\AppData\Roaming\Tencent\Users\29431246\QQ\WinTemp\RichOle\WEOLTJ11%V[U4[1P4UGO]U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C:\Users\Administrator\AppData\Roaming\Tencent\Users\29431246\QQ\WinTemp\RichOle\WEOLTJ11%V[U4[1P4UGO]U3.png"/>
                          <pic:cNvPicPr>
                            <a:picLocks noChangeAspect="1" noChangeArrowheads="1"/>
                          </pic:cNvPicPr>
                        </pic:nvPicPr>
                        <pic:blipFill>
                          <a:blip r:embed="rId9" cstate="print"/>
                          <a:srcRect/>
                          <a:stretch>
                            <a:fillRect/>
                          </a:stretch>
                        </pic:blipFill>
                        <pic:spPr>
                          <a:xfrm>
                            <a:off x="0" y="0"/>
                            <a:ext cx="2296619" cy="1476000"/>
                          </a:xfrm>
                          <a:prstGeom prst="rect">
                            <a:avLst/>
                          </a:prstGeom>
                          <a:noFill/>
                          <a:ln w="9525">
                            <a:noFill/>
                            <a:miter lim="800000"/>
                            <a:headEnd/>
                            <a:tailEnd/>
                          </a:ln>
                        </pic:spPr>
                      </pic:pic>
                    </a:graphicData>
                  </a:graphic>
                </wp:inline>
              </w:drawing>
            </w:r>
          </w:p>
          <w:p>
            <w:pPr>
              <w:widowControl/>
              <w:jc w:val="left"/>
              <w:rPr>
                <w:rFonts w:ascii="宋体" w:hAnsi="宋体" w:cs="宋体"/>
                <w:kern w:val="0"/>
                <w:sz w:val="24"/>
                <w:highlight w:val="none"/>
              </w:rPr>
            </w:pPr>
            <w:r>
              <w:rPr>
                <w:rFonts w:hint="eastAsia" w:ascii="宋体" w:hAnsi="宋体" w:cs="宋体"/>
                <w:kern w:val="0"/>
                <w:sz w:val="24"/>
                <w:highlight w:val="none"/>
              </w:rPr>
              <w:t>5）未见节能设计，需予以补充完善。</w:t>
            </w:r>
          </w:p>
          <w:p>
            <w:pPr>
              <w:widowControl/>
              <w:jc w:val="left"/>
              <w:rPr>
                <w:rFonts w:ascii="宋体" w:hAnsi="宋体" w:cs="宋体"/>
                <w:kern w:val="0"/>
                <w:sz w:val="24"/>
                <w:highlight w:val="none"/>
              </w:rPr>
            </w:pPr>
            <w:r>
              <w:rPr>
                <w:rFonts w:hint="eastAsia" w:ascii="宋体" w:hAnsi="宋体" w:cs="宋体"/>
                <w:kern w:val="0"/>
                <w:sz w:val="24"/>
                <w:highlight w:val="none"/>
              </w:rPr>
              <w:t>6）未见风管、冷媒管等管道的选型、规格、施工安装等要求，需予以补充完善。</w:t>
            </w:r>
          </w:p>
          <w:p>
            <w:pPr>
              <w:widowControl/>
              <w:jc w:val="left"/>
              <w:rPr>
                <w:rFonts w:ascii="宋体" w:hAnsi="宋体" w:cs="宋体"/>
                <w:kern w:val="0"/>
                <w:sz w:val="24"/>
                <w:highlight w:val="none"/>
              </w:rPr>
            </w:pPr>
            <w:r>
              <w:rPr>
                <w:rFonts w:hint="eastAsia" w:ascii="宋体" w:hAnsi="宋体" w:cs="宋体"/>
                <w:kern w:val="0"/>
                <w:sz w:val="24"/>
                <w:highlight w:val="none"/>
              </w:rPr>
              <w:t>二审：未见风管、冷媒管、冷凝水管的保温绝热材料的选择、规格参数等，需予以核实并补充完善。</w:t>
            </w:r>
          </w:p>
          <w:p>
            <w:pPr>
              <w:widowControl/>
              <w:jc w:val="left"/>
              <w:rPr>
                <w:rFonts w:ascii="宋体" w:hAnsi="宋体" w:cs="宋体"/>
                <w:kern w:val="0"/>
                <w:sz w:val="24"/>
                <w:highlight w:val="none"/>
              </w:rPr>
            </w:pPr>
          </w:p>
          <w:p>
            <w:pPr>
              <w:widowControl/>
              <w:jc w:val="left"/>
              <w:rPr>
                <w:rFonts w:ascii="宋体" w:hAnsi="宋体" w:cs="宋体"/>
                <w:kern w:val="0"/>
                <w:sz w:val="24"/>
                <w:highlight w:val="none"/>
              </w:rPr>
            </w:pPr>
            <w:r>
              <w:rPr>
                <w:rFonts w:hint="eastAsia" w:ascii="宋体" w:hAnsi="宋体" w:cs="宋体"/>
                <w:kern w:val="0"/>
                <w:sz w:val="24"/>
                <w:highlight w:val="none"/>
              </w:rPr>
              <w:t>另补充管线防火封堵要求：防烟、排烟、供暖、通风和空气调节系统中的管道及建筑内的其他管道，在穿越防火隔墙、楼板和防火墙处的孔隙应采用防火封堵材料封堵。风管穿过防火隔墙、楼板和防火墙时，穿越处风管上的防火阀、排烟防火阀两侧各2.0m范围内的风管应采用耐火风管或风管外壁应采取防火保护措施，且耐火极限不应低于该防火分隔体的耐火极限。</w:t>
            </w:r>
          </w:p>
          <w:p>
            <w:pPr>
              <w:widowControl/>
              <w:jc w:val="left"/>
              <w:rPr>
                <w:rFonts w:ascii="宋体" w:hAnsi="宋体" w:cs="宋体"/>
                <w:color w:val="FF0000"/>
                <w:kern w:val="0"/>
                <w:sz w:val="24"/>
                <w:highlight w:val="none"/>
              </w:rPr>
            </w:pPr>
          </w:p>
          <w:p>
            <w:pPr>
              <w:widowControl/>
              <w:jc w:val="left"/>
              <w:rPr>
                <w:rFonts w:ascii="宋体" w:hAnsi="宋体" w:cs="宋体"/>
                <w:kern w:val="0"/>
                <w:sz w:val="24"/>
                <w:highlight w:val="none"/>
              </w:rPr>
            </w:pPr>
            <w:r>
              <w:rPr>
                <w:rFonts w:hint="eastAsia" w:ascii="宋体" w:hAnsi="宋体" w:cs="宋体"/>
                <w:kern w:val="0"/>
                <w:sz w:val="24"/>
                <w:highlight w:val="none"/>
              </w:rPr>
              <w:t>7）未见抗震设计，需予以补充完善。</w:t>
            </w:r>
          </w:p>
          <w:p>
            <w:pPr>
              <w:widowControl/>
              <w:jc w:val="left"/>
              <w:rPr>
                <w:rFonts w:ascii="宋体" w:hAnsi="宋体" w:cs="宋体"/>
                <w:kern w:val="0"/>
                <w:sz w:val="24"/>
                <w:highlight w:val="none"/>
              </w:rPr>
            </w:pPr>
            <w:r>
              <w:rPr>
                <w:rFonts w:hint="eastAsia" w:ascii="宋体" w:hAnsi="宋体" w:cs="宋体"/>
                <w:kern w:val="0"/>
                <w:sz w:val="24"/>
                <w:highlight w:val="none"/>
              </w:rPr>
              <w:t>二、主要设备表：</w:t>
            </w:r>
          </w:p>
          <w:p>
            <w:pPr>
              <w:widowControl/>
              <w:jc w:val="left"/>
              <w:rPr>
                <w:rFonts w:ascii="宋体" w:hAnsi="宋体" w:cs="宋体"/>
                <w:kern w:val="0"/>
                <w:sz w:val="24"/>
                <w:highlight w:val="none"/>
              </w:rPr>
            </w:pPr>
            <w:r>
              <w:rPr>
                <w:rFonts w:hint="eastAsia" w:ascii="宋体" w:hAnsi="宋体" w:cs="宋体"/>
                <w:kern w:val="0"/>
                <w:sz w:val="24"/>
                <w:highlight w:val="none"/>
              </w:rPr>
              <w:t>1）补充明确变频多联式中央空调主机APF指标要求。</w:t>
            </w:r>
          </w:p>
          <w:p>
            <w:pPr>
              <w:widowControl/>
              <w:jc w:val="left"/>
              <w:rPr>
                <w:rFonts w:ascii="宋体" w:hAnsi="宋体" w:cs="宋体"/>
                <w:kern w:val="0"/>
                <w:sz w:val="24"/>
                <w:highlight w:val="none"/>
              </w:rPr>
            </w:pPr>
            <w:r>
              <w:rPr>
                <w:rFonts w:hint="eastAsia" w:ascii="宋体" w:hAnsi="宋体" w:cs="宋体"/>
                <w:kern w:val="0"/>
                <w:sz w:val="24"/>
                <w:highlight w:val="none"/>
              </w:rPr>
              <w:t>2）补充明确多联式新风处理机、柜式离心通风机的噪声大小，核实是否需设置消声器、隔声罩等以满足室内声环境要求。</w:t>
            </w:r>
          </w:p>
          <w:p>
            <w:pPr>
              <w:widowControl/>
              <w:jc w:val="left"/>
              <w:rPr>
                <w:rFonts w:ascii="宋体" w:hAnsi="宋体" w:cs="宋体"/>
                <w:kern w:val="0"/>
                <w:sz w:val="24"/>
                <w:highlight w:val="none"/>
              </w:rPr>
            </w:pPr>
            <w:r>
              <w:rPr>
                <w:rFonts w:hint="eastAsia" w:ascii="宋体" w:hAnsi="宋体" w:cs="宋体"/>
                <w:kern w:val="0"/>
                <w:sz w:val="24"/>
                <w:highlight w:val="none"/>
              </w:rPr>
              <w:t>二审：现风机噪声已达60dB（A)，未见设置消声器、隔声包裹等消音隔声措施，需根据室内允许噪声级予以核实修改完善。</w:t>
            </w:r>
          </w:p>
          <w:p>
            <w:pPr>
              <w:widowControl/>
              <w:jc w:val="left"/>
              <w:rPr>
                <w:rFonts w:ascii="宋体" w:hAnsi="宋体" w:cs="宋体"/>
                <w:kern w:val="0"/>
                <w:sz w:val="24"/>
                <w:highlight w:val="none"/>
              </w:rPr>
            </w:pPr>
            <w:r>
              <w:rPr>
                <w:rFonts w:hint="eastAsia" w:ascii="宋体" w:hAnsi="宋体" w:cs="宋体"/>
                <w:kern w:val="0"/>
                <w:sz w:val="24"/>
                <w:highlight w:val="none"/>
              </w:rPr>
              <w:t>三、</w:t>
            </w:r>
            <w:r>
              <w:rPr>
                <w:rFonts w:ascii="宋体" w:hAnsi="宋体" w:cs="宋体"/>
                <w:kern w:val="0"/>
                <w:sz w:val="24"/>
                <w:highlight w:val="none"/>
              </w:rPr>
              <w:t>多联机空调系统需补充逐时负荷计算书并核实设备选型是否与计算结果相符合。</w:t>
            </w:r>
          </w:p>
        </w:tc>
        <w:tc>
          <w:tcPr>
            <w:tcW w:w="2397" w:type="dxa"/>
          </w:tcPr>
          <w:p>
            <w:pPr>
              <w:rPr>
                <w:rFonts w:ascii="宋体" w:hAnsi="宋体" w:cs="宋体"/>
                <w:kern w:val="0"/>
                <w:sz w:val="24"/>
                <w:highlight w:val="none"/>
              </w:rPr>
            </w:pPr>
          </w:p>
          <w:p>
            <w:pPr>
              <w:rPr>
                <w:rFonts w:ascii="宋体" w:hAnsi="宋体" w:cs="宋体"/>
                <w:kern w:val="0"/>
                <w:sz w:val="24"/>
                <w:highlight w:val="none"/>
              </w:rPr>
            </w:pPr>
            <w:r>
              <w:rPr>
                <w:rFonts w:hint="eastAsia" w:ascii="宋体" w:hAnsi="宋体" w:cs="宋体"/>
                <w:kern w:val="0"/>
                <w:sz w:val="24"/>
                <w:highlight w:val="none"/>
              </w:rPr>
              <w:t>一、 设计施工说明：</w:t>
            </w:r>
          </w:p>
          <w:p>
            <w:pPr>
              <w:rPr>
                <w:rFonts w:ascii="宋体" w:hAnsi="宋体" w:cs="宋体"/>
                <w:kern w:val="0"/>
                <w:sz w:val="24"/>
                <w:highlight w:val="none"/>
              </w:rPr>
            </w:pPr>
            <w:r>
              <w:rPr>
                <w:rFonts w:hint="eastAsia" w:ascii="宋体" w:hAnsi="宋体" w:cs="宋体"/>
                <w:kern w:val="0"/>
                <w:sz w:val="24"/>
                <w:highlight w:val="none"/>
              </w:rPr>
              <w:t>1）已补充</w:t>
            </w: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r>
              <w:rPr>
                <w:rFonts w:hint="eastAsia" w:ascii="宋体" w:hAnsi="宋体" w:cs="宋体"/>
                <w:kern w:val="0"/>
                <w:sz w:val="24"/>
                <w:highlight w:val="none"/>
              </w:rPr>
              <w:t>2）已补充</w:t>
            </w:r>
          </w:p>
          <w:p>
            <w:pPr>
              <w:rPr>
                <w:rFonts w:ascii="宋体" w:hAnsi="宋体" w:cs="宋体"/>
                <w:kern w:val="0"/>
                <w:sz w:val="24"/>
                <w:highlight w:val="none"/>
              </w:rPr>
            </w:pPr>
            <w:r>
              <w:rPr>
                <w:rFonts w:hint="eastAsia" w:ascii="宋体" w:hAnsi="宋体" w:cs="宋体"/>
                <w:kern w:val="0"/>
                <w:sz w:val="24"/>
                <w:highlight w:val="none"/>
              </w:rPr>
              <w:t>3）已删除</w:t>
            </w: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r>
              <w:rPr>
                <w:rFonts w:hint="eastAsia" w:ascii="宋体" w:hAnsi="宋体" w:cs="宋体"/>
                <w:kern w:val="0"/>
                <w:sz w:val="24"/>
                <w:highlight w:val="none"/>
              </w:rPr>
              <w:t>4）已删除</w:t>
            </w: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r>
              <w:rPr>
                <w:rFonts w:hint="eastAsia" w:ascii="宋体" w:hAnsi="宋体" w:cs="宋体"/>
                <w:kern w:val="0"/>
                <w:sz w:val="24"/>
                <w:highlight w:val="none"/>
              </w:rPr>
              <w:t>5）已补充</w:t>
            </w:r>
          </w:p>
          <w:p>
            <w:pPr>
              <w:rPr>
                <w:rFonts w:ascii="宋体" w:hAnsi="宋体" w:cs="宋体"/>
                <w:kern w:val="0"/>
                <w:sz w:val="24"/>
                <w:highlight w:val="none"/>
              </w:rPr>
            </w:pPr>
            <w:r>
              <w:rPr>
                <w:rFonts w:hint="eastAsia" w:ascii="宋体" w:hAnsi="宋体" w:cs="宋体"/>
                <w:kern w:val="0"/>
                <w:sz w:val="24"/>
                <w:highlight w:val="none"/>
              </w:rPr>
              <w:t>6）已补充</w:t>
            </w: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numPr>
                <w:ilvl w:val="0"/>
                <w:numId w:val="1"/>
              </w:numPr>
              <w:rPr>
                <w:rFonts w:ascii="宋体" w:hAnsi="宋体" w:cs="宋体"/>
                <w:kern w:val="0"/>
                <w:sz w:val="24"/>
                <w:highlight w:val="none"/>
              </w:rPr>
            </w:pPr>
            <w:r>
              <w:rPr>
                <w:rFonts w:hint="eastAsia" w:ascii="宋体" w:hAnsi="宋体" w:cs="宋体"/>
                <w:kern w:val="0"/>
                <w:sz w:val="24"/>
                <w:highlight w:val="none"/>
              </w:rPr>
              <w:t>已补充</w:t>
            </w:r>
          </w:p>
          <w:p>
            <w:pPr>
              <w:rPr>
                <w:rFonts w:ascii="宋体" w:hAnsi="宋体" w:cs="宋体"/>
                <w:kern w:val="0"/>
                <w:sz w:val="24"/>
                <w:highlight w:val="none"/>
              </w:rPr>
            </w:pPr>
            <w:r>
              <w:rPr>
                <w:rFonts w:hint="eastAsia" w:ascii="宋体" w:hAnsi="宋体" w:cs="宋体"/>
                <w:kern w:val="0"/>
                <w:sz w:val="24"/>
                <w:highlight w:val="none"/>
              </w:rPr>
              <w:t>二审问题回复：按要求补充。</w:t>
            </w:r>
          </w:p>
          <w:p>
            <w:pPr>
              <w:rPr>
                <w:rFonts w:ascii="宋体" w:hAnsi="宋体" w:cs="宋体"/>
                <w:kern w:val="0"/>
                <w:sz w:val="24"/>
                <w:highlight w:val="none"/>
              </w:rPr>
            </w:pPr>
          </w:p>
          <w:p>
            <w:pPr>
              <w:numPr>
                <w:ilvl w:val="0"/>
                <w:numId w:val="2"/>
              </w:numPr>
              <w:rPr>
                <w:rFonts w:ascii="宋体" w:hAnsi="宋体" w:cs="宋体"/>
                <w:kern w:val="0"/>
                <w:sz w:val="24"/>
                <w:highlight w:val="none"/>
              </w:rPr>
            </w:pPr>
            <w:r>
              <w:rPr>
                <w:rFonts w:hint="eastAsia" w:ascii="宋体" w:hAnsi="宋体" w:cs="宋体"/>
                <w:kern w:val="0"/>
                <w:sz w:val="24"/>
                <w:highlight w:val="none"/>
              </w:rPr>
              <w:t>主要设备表：</w:t>
            </w:r>
          </w:p>
          <w:p>
            <w:pPr>
              <w:numPr>
                <w:ilvl w:val="0"/>
                <w:numId w:val="3"/>
              </w:numPr>
              <w:rPr>
                <w:rFonts w:ascii="宋体" w:hAnsi="宋体" w:cs="宋体"/>
                <w:kern w:val="0"/>
                <w:sz w:val="24"/>
                <w:highlight w:val="none"/>
              </w:rPr>
            </w:pPr>
            <w:r>
              <w:rPr>
                <w:rFonts w:hint="eastAsia" w:ascii="宋体" w:hAnsi="宋体" w:cs="宋体"/>
                <w:kern w:val="0"/>
                <w:sz w:val="24"/>
                <w:highlight w:val="none"/>
              </w:rPr>
              <w:t>已补充</w:t>
            </w:r>
          </w:p>
          <w:p>
            <w:pPr>
              <w:numPr>
                <w:ilvl w:val="0"/>
                <w:numId w:val="3"/>
              </w:numPr>
              <w:rPr>
                <w:rFonts w:ascii="宋体" w:hAnsi="宋体" w:cs="宋体"/>
                <w:kern w:val="0"/>
                <w:sz w:val="24"/>
                <w:highlight w:val="none"/>
              </w:rPr>
            </w:pPr>
            <w:r>
              <w:rPr>
                <w:rFonts w:hint="eastAsia" w:ascii="宋体" w:hAnsi="宋体" w:cs="宋体"/>
                <w:kern w:val="0"/>
                <w:sz w:val="24"/>
                <w:highlight w:val="none"/>
              </w:rPr>
              <w:t>已补充各设备噪音值，柜式离心通风机增加消音箱对风机进行包裹消音处理。</w:t>
            </w: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p>
          <w:p>
            <w:pPr>
              <w:numPr>
                <w:ilvl w:val="0"/>
                <w:numId w:val="2"/>
              </w:numPr>
              <w:rPr>
                <w:rFonts w:ascii="宋体" w:hAnsi="宋体" w:cs="宋体"/>
                <w:kern w:val="0"/>
                <w:sz w:val="24"/>
                <w:highlight w:val="none"/>
              </w:rPr>
            </w:pPr>
            <w:r>
              <w:rPr>
                <w:rFonts w:hint="eastAsia" w:ascii="宋体" w:hAnsi="宋体" w:cs="宋体"/>
                <w:kern w:val="0"/>
                <w:sz w:val="24"/>
                <w:highlight w:val="none"/>
              </w:rPr>
              <w:t>按意见补充计算书。</w:t>
            </w:r>
          </w:p>
        </w:tc>
        <w:tc>
          <w:tcPr>
            <w:tcW w:w="1503" w:type="dxa"/>
          </w:tcPr>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r>
              <w:rPr>
                <w:rFonts w:hint="eastAsia"/>
                <w:sz w:val="24"/>
                <w:highlight w:val="none"/>
              </w:rPr>
              <w:t>2）未见室内允许噪声级，需根据《科学实验室建筑设计规范》等规范予以核实补充完善。</w:t>
            </w: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sz w:val="24"/>
                <w:highlight w:val="none"/>
              </w:rPr>
            </w:pPr>
            <w:r>
              <w:rPr>
                <w:rFonts w:hint="eastAsia"/>
                <w:sz w:val="24"/>
                <w:highlight w:val="none"/>
              </w:rPr>
              <w:t>6）具体详左侧意见。</w:t>
            </w: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color w:val="FF0000"/>
                <w:sz w:val="24"/>
                <w:highlight w:val="none"/>
              </w:rPr>
            </w:pPr>
          </w:p>
          <w:p>
            <w:pPr>
              <w:rPr>
                <w:rFonts w:hint="eastAsia"/>
                <w:color w:val="FF0000"/>
                <w:sz w:val="24"/>
                <w:highlight w:val="none"/>
              </w:rPr>
            </w:pPr>
          </w:p>
          <w:p>
            <w:pPr>
              <w:rPr>
                <w:color w:val="FF0000"/>
                <w:sz w:val="24"/>
                <w:highlight w:val="none"/>
              </w:rPr>
            </w:pPr>
          </w:p>
          <w:p>
            <w:pPr>
              <w:rPr>
                <w:color w:val="FF0000"/>
                <w:sz w:val="24"/>
                <w:highlight w:val="none"/>
              </w:rPr>
            </w:pPr>
          </w:p>
          <w:p>
            <w:pPr>
              <w:rPr>
                <w:sz w:val="24"/>
                <w:highlight w:val="none"/>
              </w:rPr>
            </w:pPr>
            <w:r>
              <w:rPr>
                <w:rFonts w:hint="eastAsia"/>
                <w:sz w:val="24"/>
                <w:highlight w:val="none"/>
              </w:rPr>
              <w:t>二、</w:t>
            </w:r>
          </w:p>
          <w:p>
            <w:pPr>
              <w:rPr>
                <w:sz w:val="24"/>
                <w:highlight w:val="none"/>
              </w:rPr>
            </w:pPr>
          </w:p>
          <w:p>
            <w:pPr>
              <w:rPr>
                <w:sz w:val="24"/>
                <w:highlight w:val="none"/>
              </w:rPr>
            </w:pPr>
            <w:r>
              <w:rPr>
                <w:rFonts w:hint="eastAsia"/>
                <w:sz w:val="24"/>
                <w:highlight w:val="none"/>
              </w:rPr>
              <w:t>2）具体详左侧意见。</w:t>
            </w: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883" w:type="dxa"/>
            <w:vAlign w:val="center"/>
          </w:tcPr>
          <w:p>
            <w:pPr>
              <w:jc w:val="center"/>
              <w:rPr>
                <w:sz w:val="24"/>
                <w:highlight w:val="none"/>
              </w:rPr>
            </w:pPr>
            <w:r>
              <w:rPr>
                <w:rFonts w:hint="eastAsia"/>
                <w:sz w:val="24"/>
                <w:highlight w:val="none"/>
              </w:rPr>
              <w:t>2</w:t>
            </w:r>
          </w:p>
        </w:tc>
        <w:tc>
          <w:tcPr>
            <w:tcW w:w="5617" w:type="dxa"/>
            <w:gridSpan w:val="2"/>
          </w:tcPr>
          <w:p>
            <w:pPr>
              <w:widowControl/>
              <w:rPr>
                <w:rFonts w:ascii="宋体" w:hAnsi="宋体" w:cs="宋体"/>
                <w:kern w:val="0"/>
                <w:sz w:val="24"/>
                <w:highlight w:val="none"/>
              </w:rPr>
            </w:pPr>
            <w:r>
              <w:rPr>
                <w:rFonts w:ascii="宋体" w:hAnsi="宋体" w:cs="宋体"/>
                <w:kern w:val="0"/>
                <w:sz w:val="24"/>
                <w:highlight w:val="none"/>
              </w:rPr>
              <w:t>排风布置图：</w:t>
            </w:r>
          </w:p>
          <w:p>
            <w:pPr>
              <w:widowControl/>
              <w:rPr>
                <w:rFonts w:ascii="宋体" w:hAnsi="宋体" w:cs="宋体"/>
                <w:kern w:val="0"/>
                <w:sz w:val="24"/>
                <w:highlight w:val="none"/>
              </w:rPr>
            </w:pPr>
            <w:r>
              <w:rPr>
                <w:rFonts w:hint="eastAsia" w:ascii="宋体" w:hAnsi="宋体" w:cs="宋体"/>
                <w:kern w:val="0"/>
                <w:sz w:val="24"/>
                <w:highlight w:val="none"/>
              </w:rPr>
              <w:t>一、实验室通风设计施工说明：</w:t>
            </w:r>
          </w:p>
          <w:p>
            <w:pPr>
              <w:widowControl/>
              <w:rPr>
                <w:rFonts w:ascii="宋体" w:hAnsi="宋体" w:cs="宋体"/>
                <w:kern w:val="0"/>
                <w:sz w:val="24"/>
                <w:highlight w:val="none"/>
              </w:rPr>
            </w:pPr>
            <w:r>
              <w:rPr>
                <w:rFonts w:hint="eastAsia" w:ascii="宋体" w:hAnsi="宋体" w:cs="宋体"/>
                <w:kern w:val="0"/>
                <w:sz w:val="24"/>
                <w:highlight w:val="none"/>
              </w:rPr>
              <w:t>1）节能设计中补充明确：</w:t>
            </w:r>
            <w:r>
              <w:rPr>
                <w:rFonts w:ascii="宋体" w:hAnsi="宋体" w:cs="宋体"/>
                <w:kern w:val="0"/>
                <w:sz w:val="24"/>
                <w:highlight w:val="none"/>
              </w:rPr>
              <w:t>风机效率不应低于现行国家标准《通风机能效限定值及能效等级》GB 19761规定的通风机能效等级的2级。</w:t>
            </w:r>
          </w:p>
          <w:p>
            <w:pPr>
              <w:widowControl/>
              <w:rPr>
                <w:rFonts w:ascii="宋体" w:hAnsi="宋体" w:cs="宋体"/>
                <w:kern w:val="0"/>
                <w:sz w:val="24"/>
                <w:highlight w:val="none"/>
              </w:rPr>
            </w:pPr>
            <w:r>
              <w:rPr>
                <w:rFonts w:hint="eastAsia" w:ascii="宋体" w:hAnsi="宋体" w:cs="宋体"/>
                <w:kern w:val="0"/>
                <w:sz w:val="24"/>
                <w:highlight w:val="none"/>
              </w:rPr>
              <w:t>2）补充明确：排除有燃烧或爆炸危险气体、蒸气和粉尘的排风系统设置导除静电的接地装置。</w:t>
            </w:r>
          </w:p>
          <w:p>
            <w:pPr>
              <w:widowControl/>
              <w:rPr>
                <w:rFonts w:ascii="宋体" w:hAnsi="宋体" w:cs="宋体"/>
                <w:kern w:val="0"/>
                <w:sz w:val="24"/>
                <w:highlight w:val="none"/>
              </w:rPr>
            </w:pPr>
            <w:r>
              <w:rPr>
                <w:rFonts w:hint="eastAsia" w:ascii="宋体" w:hAnsi="宋体" w:cs="宋体"/>
                <w:kern w:val="0"/>
                <w:sz w:val="24"/>
                <w:highlight w:val="none"/>
              </w:rPr>
              <w:t>3）未见抗震设计，需予以补充完善。</w:t>
            </w:r>
          </w:p>
          <w:p>
            <w:pPr>
              <w:widowControl/>
              <w:rPr>
                <w:rFonts w:ascii="宋体" w:hAnsi="宋体" w:cs="宋体"/>
                <w:kern w:val="0"/>
                <w:sz w:val="24"/>
                <w:highlight w:val="none"/>
              </w:rPr>
            </w:pPr>
          </w:p>
          <w:p>
            <w:pPr>
              <w:widowControl/>
              <w:rPr>
                <w:rFonts w:ascii="宋体" w:hAnsi="宋体" w:cs="宋体"/>
                <w:color w:val="FF0000"/>
                <w:kern w:val="0"/>
                <w:sz w:val="24"/>
                <w:highlight w:val="none"/>
              </w:rPr>
            </w:pPr>
            <w:r>
              <w:rPr>
                <w:rFonts w:ascii="宋体" w:hAnsi="宋体" w:cs="宋体"/>
                <w:color w:val="FF0000"/>
                <w:kern w:val="0"/>
                <w:sz w:val="24"/>
                <w:highlight w:val="none"/>
              </w:rPr>
              <w:t>二审补充意见：</w:t>
            </w:r>
          </w:p>
          <w:p>
            <w:pPr>
              <w:widowControl/>
              <w:rPr>
                <w:rFonts w:ascii="宋体" w:hAnsi="宋体" w:cs="宋体"/>
                <w:color w:val="FF0000"/>
                <w:kern w:val="0"/>
                <w:sz w:val="24"/>
                <w:highlight w:val="none"/>
              </w:rPr>
            </w:pPr>
            <w:r>
              <w:rPr>
                <w:rFonts w:hint="eastAsia" w:ascii="宋体" w:hAnsi="宋体" w:cs="宋体"/>
                <w:color w:val="FF0000"/>
                <w:kern w:val="0"/>
                <w:sz w:val="24"/>
                <w:highlight w:val="none"/>
              </w:rPr>
              <w:t>4）现存在不同的局部排风罩、通风柜共用排风管以及排风设备的情况，应与工艺、使用方核实不同的局部排风罩、通风柜的废气混合后会不会产生或加剧腐蚀性、毒性、燃烧爆炸危险性的可能，如否的方可共用排风管以及排风设备，并在“通风设计方案及管线布局”中补充明确：经与工艺、使用方确认，现不同的局部排风罩、通风柜共用排风管以及排风设备并不存在产生或加剧腐蚀性、毒性、燃烧爆炸危险性的情况。</w:t>
            </w:r>
          </w:p>
          <w:p>
            <w:pPr>
              <w:widowControl/>
              <w:rPr>
                <w:rFonts w:ascii="宋体" w:hAnsi="宋体" w:cs="宋体"/>
                <w:color w:val="FF0000"/>
                <w:kern w:val="0"/>
                <w:sz w:val="24"/>
                <w:highlight w:val="none"/>
              </w:rPr>
            </w:pPr>
          </w:p>
          <w:p>
            <w:pPr>
              <w:widowControl/>
              <w:rPr>
                <w:rFonts w:hint="eastAsia" w:ascii="宋体" w:hAnsi="宋体" w:cs="宋体"/>
                <w:color w:val="FF0000"/>
                <w:kern w:val="0"/>
                <w:sz w:val="24"/>
                <w:highlight w:val="none"/>
              </w:rPr>
            </w:pPr>
            <w:r>
              <w:rPr>
                <w:rFonts w:hint="eastAsia" w:ascii="宋体" w:hAnsi="宋体" w:cs="宋体"/>
                <w:color w:val="FF0000"/>
                <w:kern w:val="0"/>
                <w:sz w:val="24"/>
                <w:highlight w:val="none"/>
              </w:rPr>
              <w:t>如不同的局部排风罩、通风柜的废气混合后会产生或加剧腐蚀性、毒性、燃烧爆炸危险性的，不同的局部排风罩、通风柜的废气排除应分别独立设置。</w:t>
            </w:r>
          </w:p>
          <w:p>
            <w:pPr>
              <w:widowControl/>
              <w:rPr>
                <w:rFonts w:hint="eastAsia" w:ascii="宋体" w:hAnsi="宋体" w:cs="宋体"/>
                <w:color w:val="FF0000"/>
                <w:kern w:val="0"/>
                <w:sz w:val="24"/>
                <w:highlight w:val="none"/>
              </w:rPr>
            </w:pPr>
          </w:p>
          <w:p>
            <w:pPr>
              <w:widowControl/>
              <w:rPr>
                <w:rFonts w:ascii="宋体" w:hAnsi="宋体" w:cs="宋体"/>
                <w:color w:val="FF0000"/>
                <w:kern w:val="0"/>
                <w:sz w:val="24"/>
                <w:highlight w:val="none"/>
              </w:rPr>
            </w:pPr>
            <w:r>
              <w:rPr>
                <w:rFonts w:hint="eastAsia" w:ascii="宋体" w:hAnsi="宋体" w:cs="宋体"/>
                <w:color w:val="FF0000"/>
                <w:kern w:val="0"/>
                <w:sz w:val="24"/>
                <w:highlight w:val="none"/>
              </w:rPr>
              <w:t>三审：如否的，</w:t>
            </w:r>
            <w:r>
              <w:rPr>
                <w:rFonts w:hint="eastAsia"/>
                <w:color w:val="FF0000"/>
                <w:sz w:val="24"/>
                <w:highlight w:val="none"/>
              </w:rPr>
              <w:t>在设计文件中备注明确：</w:t>
            </w:r>
            <w:r>
              <w:rPr>
                <w:rFonts w:hint="eastAsia" w:ascii="宋体" w:hAnsi="宋体" w:cs="宋体"/>
                <w:color w:val="FF0000"/>
                <w:kern w:val="0"/>
                <w:sz w:val="24"/>
                <w:highlight w:val="none"/>
              </w:rPr>
              <w:t>经与工艺、使用方确认，现不同的局部排风罩、通风柜共用排风管以及排风设备并不存在产生或加剧腐蚀性、毒性、燃烧爆炸危险性的情况。</w:t>
            </w:r>
          </w:p>
          <w:p>
            <w:pPr>
              <w:widowControl/>
              <w:rPr>
                <w:rFonts w:ascii="宋体" w:hAnsi="宋体" w:cs="宋体"/>
                <w:color w:val="FF0000"/>
                <w:kern w:val="0"/>
                <w:sz w:val="24"/>
                <w:highlight w:val="none"/>
              </w:rPr>
            </w:pPr>
          </w:p>
          <w:p>
            <w:pPr>
              <w:widowControl/>
              <w:rPr>
                <w:rFonts w:ascii="宋体" w:hAnsi="宋体" w:cs="宋体"/>
                <w:kern w:val="0"/>
                <w:sz w:val="24"/>
                <w:highlight w:val="none"/>
              </w:rPr>
            </w:pPr>
            <w:r>
              <w:rPr>
                <w:rFonts w:hint="eastAsia" w:ascii="宋体" w:hAnsi="宋体" w:cs="宋体"/>
                <w:kern w:val="0"/>
                <w:sz w:val="24"/>
                <w:highlight w:val="none"/>
              </w:rPr>
              <w:t>二、主要材料设备表：</w:t>
            </w:r>
          </w:p>
          <w:p>
            <w:pPr>
              <w:widowControl/>
              <w:rPr>
                <w:rFonts w:ascii="宋体" w:hAnsi="宋体" w:cs="宋体"/>
                <w:kern w:val="0"/>
                <w:sz w:val="24"/>
                <w:highlight w:val="none"/>
              </w:rPr>
            </w:pPr>
            <w:r>
              <w:rPr>
                <w:rFonts w:hint="eastAsia" w:ascii="宋体" w:hAnsi="宋体" w:cs="宋体"/>
                <w:kern w:val="0"/>
                <w:sz w:val="24"/>
                <w:highlight w:val="none"/>
              </w:rPr>
              <w:t>1）各吊装在室内的通风机的噪声大小，核实是否需设置消声器、隔声罩等以满足室内声环境要求。</w:t>
            </w:r>
          </w:p>
          <w:p>
            <w:pPr>
              <w:widowControl/>
              <w:rPr>
                <w:rFonts w:hint="eastAsia" w:ascii="宋体" w:hAnsi="宋体" w:cs="宋体"/>
                <w:color w:val="FF0000"/>
                <w:kern w:val="0"/>
                <w:sz w:val="24"/>
                <w:highlight w:val="none"/>
              </w:rPr>
            </w:pPr>
            <w:r>
              <w:rPr>
                <w:rFonts w:hint="eastAsia" w:ascii="宋体" w:hAnsi="宋体" w:cs="宋体"/>
                <w:color w:val="FF0000"/>
                <w:kern w:val="0"/>
                <w:sz w:val="24"/>
                <w:highlight w:val="none"/>
              </w:rPr>
              <w:t>二审：现设备表中“实验室噪音限值要求70dB”是依据何规范、标准的？需根据室内允许噪声级、设备噪声大小核实是否需设置消声器、隔声罩等以满足室内声环境要求。</w:t>
            </w:r>
          </w:p>
          <w:p>
            <w:pPr>
              <w:widowControl/>
              <w:rPr>
                <w:rFonts w:ascii="宋体" w:hAnsi="宋体" w:cs="宋体"/>
                <w:color w:val="FF0000"/>
                <w:kern w:val="0"/>
                <w:sz w:val="24"/>
                <w:highlight w:val="none"/>
              </w:rPr>
            </w:pPr>
            <w:r>
              <w:rPr>
                <w:rFonts w:ascii="宋体" w:hAnsi="宋体" w:cs="宋体"/>
                <w:color w:val="FF0000"/>
                <w:kern w:val="0"/>
                <w:sz w:val="24"/>
                <w:highlight w:val="none"/>
              </w:rPr>
              <w:t>三审：现存在排风机吊装在室内且噪声大于室内允许噪声级，除了设置管道消声器，还应包裹风机消音箱。</w:t>
            </w:r>
          </w:p>
        </w:tc>
        <w:tc>
          <w:tcPr>
            <w:tcW w:w="2397" w:type="dxa"/>
          </w:tcPr>
          <w:p>
            <w:pPr>
              <w:rPr>
                <w:rFonts w:ascii="宋体" w:hAnsi="宋体" w:cs="宋体"/>
                <w:kern w:val="0"/>
                <w:sz w:val="24"/>
                <w:highlight w:val="none"/>
              </w:rPr>
            </w:pPr>
            <w:r>
              <w:rPr>
                <w:rFonts w:hint="eastAsia" w:ascii="宋体" w:hAnsi="宋体" w:cs="宋体"/>
                <w:kern w:val="0"/>
                <w:sz w:val="24"/>
                <w:highlight w:val="none"/>
              </w:rPr>
              <w:t>一、 实验室通风设计施工说明：</w:t>
            </w:r>
          </w:p>
          <w:p>
            <w:pPr>
              <w:rPr>
                <w:rFonts w:ascii="宋体" w:hAnsi="宋体" w:cs="宋体"/>
                <w:kern w:val="0"/>
                <w:sz w:val="24"/>
                <w:highlight w:val="none"/>
              </w:rPr>
            </w:pPr>
            <w:r>
              <w:rPr>
                <w:rFonts w:hint="eastAsia" w:ascii="宋体" w:hAnsi="宋体" w:cs="宋体"/>
                <w:kern w:val="0"/>
                <w:sz w:val="24"/>
                <w:highlight w:val="none"/>
              </w:rPr>
              <w:t>1）已补充说明</w:t>
            </w:r>
          </w:p>
          <w:p>
            <w:pPr>
              <w:rPr>
                <w:rFonts w:ascii="宋体" w:hAnsi="宋体" w:cs="宋体"/>
                <w:kern w:val="0"/>
                <w:sz w:val="24"/>
                <w:highlight w:val="none"/>
              </w:rPr>
            </w:pPr>
          </w:p>
          <w:p>
            <w:pPr>
              <w:rPr>
                <w:rFonts w:ascii="宋体" w:hAnsi="宋体" w:cs="宋体"/>
                <w:kern w:val="0"/>
                <w:sz w:val="24"/>
                <w:highlight w:val="none"/>
              </w:rPr>
            </w:pPr>
            <w:r>
              <w:rPr>
                <w:rFonts w:hint="eastAsia" w:ascii="宋体" w:hAnsi="宋体" w:cs="宋体"/>
                <w:kern w:val="0"/>
                <w:sz w:val="24"/>
                <w:highlight w:val="none"/>
              </w:rPr>
              <w:t>2）已补充说明</w:t>
            </w:r>
          </w:p>
          <w:p>
            <w:pPr>
              <w:rPr>
                <w:rFonts w:ascii="宋体" w:hAnsi="宋体" w:cs="宋体"/>
                <w:kern w:val="0"/>
                <w:sz w:val="24"/>
                <w:highlight w:val="none"/>
              </w:rPr>
            </w:pPr>
          </w:p>
          <w:p>
            <w:pPr>
              <w:rPr>
                <w:rFonts w:ascii="宋体" w:hAnsi="宋体" w:cs="宋体"/>
                <w:kern w:val="0"/>
                <w:sz w:val="24"/>
                <w:highlight w:val="none"/>
              </w:rPr>
            </w:pPr>
          </w:p>
          <w:p>
            <w:pPr>
              <w:rPr>
                <w:rFonts w:ascii="宋体" w:hAnsi="宋体" w:cs="宋体"/>
                <w:kern w:val="0"/>
                <w:sz w:val="24"/>
                <w:highlight w:val="none"/>
              </w:rPr>
            </w:pPr>
            <w:r>
              <w:rPr>
                <w:rFonts w:hint="eastAsia" w:ascii="宋体" w:hAnsi="宋体" w:cs="宋体"/>
                <w:kern w:val="0"/>
                <w:sz w:val="24"/>
                <w:highlight w:val="none"/>
              </w:rPr>
              <w:t>3）抗震设计说明已增加，具体方案须由施工方根据现成情况深化。</w:t>
            </w:r>
          </w:p>
          <w:p>
            <w:pPr>
              <w:rPr>
                <w:rFonts w:ascii="宋体" w:hAnsi="宋体" w:cs="宋体"/>
                <w:color w:val="0000FF"/>
                <w:kern w:val="0"/>
                <w:sz w:val="24"/>
                <w:highlight w:val="none"/>
              </w:rPr>
            </w:pPr>
          </w:p>
          <w:p>
            <w:pPr>
              <w:rPr>
                <w:rFonts w:ascii="宋体" w:hAnsi="宋体" w:cs="宋体"/>
                <w:color w:val="0000FF"/>
                <w:kern w:val="0"/>
                <w:sz w:val="24"/>
                <w:highlight w:val="none"/>
              </w:rPr>
            </w:pPr>
            <w:r>
              <w:rPr>
                <w:rFonts w:hint="eastAsia" w:ascii="宋体" w:hAnsi="宋体" w:cs="宋体"/>
                <w:color w:val="0000FF"/>
                <w:kern w:val="0"/>
                <w:sz w:val="24"/>
                <w:highlight w:val="none"/>
              </w:rPr>
              <w:t>二审意见回复：关于局部排风罩、通风柜共用排风管废气混合问题，已与使用者核实不会产生或加剧腐蚀性、毒性、燃烧爆炸危险性的可能。</w:t>
            </w:r>
          </w:p>
          <w:p>
            <w:pPr>
              <w:rPr>
                <w:rFonts w:ascii="宋体" w:hAnsi="宋体" w:cs="宋体"/>
                <w:kern w:val="0"/>
                <w:sz w:val="24"/>
                <w:highlight w:val="none"/>
              </w:rPr>
            </w:pPr>
          </w:p>
          <w:p>
            <w:pPr>
              <w:rPr>
                <w:rFonts w:ascii="宋体" w:hAnsi="宋体" w:cs="宋体"/>
                <w:kern w:val="0"/>
                <w:sz w:val="24"/>
                <w:highlight w:val="none"/>
              </w:rPr>
            </w:pPr>
          </w:p>
          <w:p>
            <w:pPr>
              <w:rPr>
                <w:rFonts w:hint="eastAsia" w:ascii="宋体" w:hAnsi="宋体" w:cs="宋体"/>
                <w:color w:val="0000FF"/>
                <w:kern w:val="0"/>
                <w:sz w:val="24"/>
                <w:highlight w:val="none"/>
              </w:rPr>
            </w:pPr>
            <w:r>
              <w:rPr>
                <w:rFonts w:hint="eastAsia" w:ascii="宋体" w:hAnsi="宋体" w:cs="宋体"/>
                <w:color w:val="0000FF"/>
                <w:kern w:val="0"/>
                <w:sz w:val="24"/>
                <w:highlight w:val="none"/>
              </w:rPr>
              <w:t>风机噪音问题:按要求增加消音器或更换低噪音风机。</w:t>
            </w:r>
          </w:p>
          <w:p>
            <w:pPr>
              <w:spacing w:beforeLines="0" w:afterLines="0"/>
              <w:jc w:val="left"/>
              <w:rPr>
                <w:rFonts w:hint="eastAsia" w:ascii="System" w:hAnsi="System" w:eastAsia="System"/>
                <w:color w:val="FFFFFF"/>
                <w:sz w:val="24"/>
                <w:szCs w:val="24"/>
                <w:highlight w:val="none"/>
              </w:rPr>
            </w:pPr>
            <w:r>
              <w:rPr>
                <w:rFonts w:hint="eastAsia" w:ascii="宋体" w:hAnsi="宋体" w:cs="宋体"/>
                <w:color w:val="0000FF"/>
                <w:kern w:val="0"/>
                <w:sz w:val="24"/>
                <w:highlight w:val="none"/>
                <w:lang w:val="en-US" w:eastAsia="zh-CN"/>
              </w:rPr>
              <w:t>三审回复：在图纸设计说明该中补充“</w:t>
            </w:r>
            <w:r>
              <w:rPr>
                <w:rFonts w:hint="eastAsia" w:ascii="System" w:hAnsi="System" w:eastAsia="System"/>
                <w:color w:val="FFFFFF"/>
                <w:sz w:val="24"/>
                <w:szCs w:val="24"/>
                <w:highlight w:val="none"/>
              </w:rPr>
              <w:t>2</w:t>
            </w:r>
            <w:r>
              <w:rPr>
                <w:rFonts w:hint="eastAsia" w:ascii="System" w:hAnsi="System" w:eastAsia="System"/>
                <w:color w:val="FF0000"/>
                <w:sz w:val="24"/>
                <w:szCs w:val="24"/>
                <w:highlight w:val="none"/>
              </w:rPr>
              <w:t>局部排风罩、通风柜共用排风管，经与工艺、使用方确认，现不同的局部排风罩、通风柜共用排风管以及排风设备不存在产生或加剧腐蚀性、毒性、燃烧爆炸危险性的情况</w:t>
            </w:r>
            <w:r>
              <w:rPr>
                <w:rFonts w:hint="eastAsia" w:ascii="System" w:hAnsi="System" w:eastAsia="System"/>
                <w:color w:val="FFFFFF"/>
                <w:sz w:val="24"/>
                <w:szCs w:val="24"/>
                <w:highlight w:val="none"/>
              </w:rPr>
              <w:t>。</w:t>
            </w:r>
          </w:p>
          <w:p>
            <w:pPr>
              <w:rPr>
                <w:rFonts w:hint="eastAsia" w:ascii="宋体" w:hAnsi="宋体" w:cs="宋体"/>
                <w:color w:val="0000FF"/>
                <w:kern w:val="0"/>
                <w:sz w:val="24"/>
                <w:highlight w:val="none"/>
                <w:lang w:val="en-US" w:eastAsia="zh-CN"/>
              </w:rPr>
            </w:pPr>
            <w:r>
              <w:rPr>
                <w:rFonts w:hint="eastAsia" w:ascii="宋体" w:hAnsi="宋体" w:cs="宋体"/>
                <w:color w:val="0000FF"/>
                <w:kern w:val="0"/>
                <w:sz w:val="24"/>
                <w:highlight w:val="none"/>
                <w:lang w:val="en-US" w:eastAsia="zh-CN"/>
              </w:rPr>
              <w:t>”</w:t>
            </w:r>
          </w:p>
          <w:p>
            <w:pPr>
              <w:rPr>
                <w:rFonts w:hint="eastAsia" w:ascii="宋体" w:hAnsi="宋体" w:cs="宋体"/>
                <w:color w:val="0000FF"/>
                <w:kern w:val="0"/>
                <w:sz w:val="24"/>
                <w:highlight w:val="none"/>
                <w:lang w:val="en-US" w:eastAsia="zh-CN"/>
              </w:rPr>
            </w:pPr>
            <w:r>
              <w:rPr>
                <w:rFonts w:hint="eastAsia" w:ascii="宋体" w:hAnsi="宋体" w:cs="宋体"/>
                <w:color w:val="0000FF"/>
                <w:kern w:val="0"/>
                <w:sz w:val="24"/>
                <w:highlight w:val="none"/>
                <w:lang w:val="en-US" w:eastAsia="zh-CN"/>
              </w:rPr>
              <w:t>三审回复：</w:t>
            </w:r>
          </w:p>
          <w:p>
            <w:pPr>
              <w:rPr>
                <w:rFonts w:hint="default" w:ascii="宋体" w:hAnsi="宋体" w:cs="宋体"/>
                <w:color w:val="0000FF"/>
                <w:kern w:val="0"/>
                <w:sz w:val="24"/>
                <w:highlight w:val="none"/>
                <w:lang w:val="en-US" w:eastAsia="zh-CN"/>
              </w:rPr>
            </w:pPr>
            <w:r>
              <w:rPr>
                <w:rFonts w:hint="eastAsia" w:ascii="宋体" w:hAnsi="宋体" w:cs="宋体"/>
                <w:color w:val="0000FF"/>
                <w:kern w:val="0"/>
                <w:sz w:val="24"/>
                <w:highlight w:val="none"/>
                <w:lang w:val="en-US" w:eastAsia="zh-CN"/>
              </w:rPr>
              <w:t>图纸中国排风机加装消音箱。</w:t>
            </w:r>
          </w:p>
          <w:p>
            <w:pPr>
              <w:rPr>
                <w:rFonts w:hint="default" w:ascii="宋体" w:hAnsi="宋体" w:cs="宋体"/>
                <w:color w:val="0000FF"/>
                <w:kern w:val="0"/>
                <w:sz w:val="24"/>
                <w:highlight w:val="none"/>
                <w:lang w:val="en-US" w:eastAsia="zh-CN"/>
              </w:rPr>
            </w:pPr>
          </w:p>
          <w:p>
            <w:pPr>
              <w:rPr>
                <w:rFonts w:ascii="宋体" w:hAnsi="宋体" w:cs="宋体"/>
                <w:kern w:val="0"/>
                <w:sz w:val="24"/>
                <w:highlight w:val="none"/>
              </w:rPr>
            </w:pPr>
          </w:p>
          <w:p>
            <w:pPr>
              <w:rPr>
                <w:rFonts w:ascii="宋体" w:hAnsi="宋体" w:cs="宋体"/>
                <w:kern w:val="0"/>
                <w:sz w:val="24"/>
                <w:highlight w:val="none"/>
              </w:rPr>
            </w:pPr>
          </w:p>
          <w:p>
            <w:pPr>
              <w:widowControl/>
              <w:numPr>
                <w:ilvl w:val="0"/>
                <w:numId w:val="4"/>
              </w:numPr>
              <w:rPr>
                <w:rFonts w:ascii="宋体" w:hAnsi="宋体" w:cs="宋体"/>
                <w:kern w:val="0"/>
                <w:sz w:val="24"/>
                <w:highlight w:val="none"/>
              </w:rPr>
            </w:pPr>
            <w:r>
              <w:rPr>
                <w:rFonts w:hint="eastAsia" w:ascii="宋体" w:hAnsi="宋体" w:cs="宋体"/>
                <w:kern w:val="0"/>
                <w:sz w:val="24"/>
                <w:highlight w:val="none"/>
              </w:rPr>
              <w:t>主要材料设备表：</w:t>
            </w:r>
          </w:p>
          <w:p>
            <w:pPr>
              <w:rPr>
                <w:rFonts w:ascii="宋体" w:hAnsi="宋体" w:cs="宋体"/>
                <w:kern w:val="0"/>
                <w:sz w:val="24"/>
                <w:highlight w:val="none"/>
              </w:rPr>
            </w:pPr>
            <w:r>
              <w:rPr>
                <w:rFonts w:hint="eastAsia" w:ascii="宋体" w:hAnsi="宋体" w:cs="宋体"/>
                <w:kern w:val="0"/>
                <w:sz w:val="24"/>
                <w:highlight w:val="none"/>
              </w:rPr>
              <w:t>已补充各设备噪音值，噪音满足实验室噪声限值要求。</w:t>
            </w:r>
          </w:p>
          <w:p>
            <w:pPr>
              <w:rPr>
                <w:rFonts w:ascii="宋体" w:hAnsi="宋体" w:cs="宋体"/>
                <w:kern w:val="0"/>
                <w:sz w:val="24"/>
                <w:highlight w:val="none"/>
              </w:rPr>
            </w:pPr>
          </w:p>
          <w:p>
            <w:pPr>
              <w:rPr>
                <w:rFonts w:ascii="宋体" w:hAnsi="宋体" w:cs="宋体"/>
                <w:kern w:val="0"/>
                <w:sz w:val="24"/>
                <w:highlight w:val="none"/>
              </w:rPr>
            </w:pPr>
          </w:p>
        </w:tc>
        <w:tc>
          <w:tcPr>
            <w:tcW w:w="1503" w:type="dxa"/>
          </w:tcPr>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r>
              <w:rPr>
                <w:rFonts w:hint="eastAsia"/>
                <w:color w:val="FF0000"/>
                <w:sz w:val="24"/>
                <w:highlight w:val="none"/>
              </w:rPr>
              <w:t>4）具体详左侧意见</w:t>
            </w: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sz w:val="24"/>
                <w:highlight w:val="none"/>
              </w:rPr>
            </w:pPr>
          </w:p>
          <w:p>
            <w:pPr>
              <w:rPr>
                <w:rFonts w:hint="eastAsia"/>
                <w:color w:val="FF0000"/>
                <w:sz w:val="24"/>
                <w:highlight w:val="none"/>
              </w:rPr>
            </w:pPr>
          </w:p>
          <w:p>
            <w:pPr>
              <w:rPr>
                <w:rFonts w:hint="eastAsia"/>
                <w:color w:val="FF0000"/>
                <w:sz w:val="24"/>
                <w:highlight w:val="none"/>
              </w:rPr>
            </w:pPr>
          </w:p>
          <w:p>
            <w:pPr>
              <w:rPr>
                <w:rFonts w:hint="eastAsia"/>
                <w:color w:val="FF0000"/>
                <w:sz w:val="24"/>
                <w:highlight w:val="none"/>
              </w:rPr>
            </w:pPr>
          </w:p>
          <w:p>
            <w:pPr>
              <w:rPr>
                <w:rFonts w:hint="eastAsia"/>
                <w:color w:val="FF0000"/>
                <w:sz w:val="24"/>
                <w:highlight w:val="none"/>
              </w:rPr>
            </w:pPr>
          </w:p>
          <w:p>
            <w:pPr>
              <w:rPr>
                <w:rFonts w:hint="eastAsia"/>
                <w:color w:val="FF0000"/>
                <w:sz w:val="24"/>
                <w:highlight w:val="none"/>
              </w:rPr>
            </w:pPr>
          </w:p>
          <w:p>
            <w:pPr>
              <w:rPr>
                <w:rFonts w:hint="eastAsia"/>
                <w:color w:val="FF0000"/>
                <w:sz w:val="24"/>
                <w:highlight w:val="none"/>
              </w:rPr>
            </w:pPr>
          </w:p>
          <w:p>
            <w:pPr>
              <w:rPr>
                <w:rFonts w:hint="eastAsia"/>
                <w:color w:val="FF0000"/>
                <w:sz w:val="24"/>
                <w:highlight w:val="none"/>
              </w:rPr>
            </w:pPr>
          </w:p>
          <w:p>
            <w:pPr>
              <w:rPr>
                <w:rFonts w:hint="eastAsia"/>
                <w:color w:val="FF0000"/>
                <w:sz w:val="24"/>
                <w:highlight w:val="none"/>
              </w:rPr>
            </w:pPr>
          </w:p>
          <w:p>
            <w:pPr>
              <w:rPr>
                <w:rFonts w:hint="eastAsia"/>
                <w:color w:val="FF0000"/>
                <w:sz w:val="24"/>
                <w:highlight w:val="none"/>
              </w:rPr>
            </w:pPr>
          </w:p>
          <w:p>
            <w:pPr>
              <w:rPr>
                <w:rFonts w:hint="eastAsia"/>
                <w:color w:val="FF0000"/>
                <w:sz w:val="24"/>
                <w:highlight w:val="none"/>
              </w:rPr>
            </w:pPr>
          </w:p>
          <w:p>
            <w:pPr>
              <w:rPr>
                <w:color w:val="FF0000"/>
                <w:sz w:val="24"/>
                <w:highlight w:val="none"/>
              </w:rPr>
            </w:pPr>
            <w:r>
              <w:rPr>
                <w:rFonts w:hint="eastAsia"/>
                <w:color w:val="FF0000"/>
                <w:sz w:val="24"/>
                <w:highlight w:val="none"/>
              </w:rPr>
              <w:t>二、具体详左侧意见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vAlign w:val="center"/>
          </w:tcPr>
          <w:p>
            <w:pPr>
              <w:jc w:val="center"/>
              <w:rPr>
                <w:sz w:val="24"/>
                <w:highlight w:val="none"/>
              </w:rPr>
            </w:pPr>
            <w:r>
              <w:rPr>
                <w:rFonts w:hint="eastAsia"/>
                <w:sz w:val="24"/>
                <w:highlight w:val="none"/>
              </w:rPr>
              <w:t>三</w:t>
            </w:r>
          </w:p>
        </w:tc>
        <w:tc>
          <w:tcPr>
            <w:tcW w:w="5617" w:type="dxa"/>
            <w:gridSpan w:val="2"/>
            <w:vAlign w:val="center"/>
          </w:tcPr>
          <w:p>
            <w:pPr>
              <w:jc w:val="left"/>
              <w:rPr>
                <w:sz w:val="24"/>
                <w:highlight w:val="none"/>
              </w:rPr>
            </w:pPr>
            <w:r>
              <w:rPr>
                <w:rFonts w:hint="eastAsia"/>
                <w:b/>
                <w:bCs/>
                <w:sz w:val="24"/>
                <w:highlight w:val="none"/>
              </w:rPr>
              <w:t>其它方面：</w:t>
            </w:r>
          </w:p>
        </w:tc>
        <w:tc>
          <w:tcPr>
            <w:tcW w:w="2397" w:type="dxa"/>
            <w:vAlign w:val="center"/>
          </w:tcPr>
          <w:p>
            <w:pPr>
              <w:jc w:val="left"/>
              <w:rPr>
                <w:sz w:val="24"/>
                <w:highlight w:val="none"/>
              </w:rPr>
            </w:pPr>
          </w:p>
        </w:tc>
        <w:tc>
          <w:tcPr>
            <w:tcW w:w="1503" w:type="dxa"/>
            <w:vAlign w:val="center"/>
          </w:tcPr>
          <w:p>
            <w:pPr>
              <w:jc w:val="left"/>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vAlign w:val="center"/>
          </w:tcPr>
          <w:p>
            <w:pPr>
              <w:jc w:val="center"/>
              <w:rPr>
                <w:sz w:val="24"/>
                <w:highlight w:val="none"/>
              </w:rPr>
            </w:pPr>
            <w:r>
              <w:rPr>
                <w:rFonts w:hint="eastAsia"/>
                <w:sz w:val="24"/>
                <w:highlight w:val="none"/>
              </w:rPr>
              <w:t>1</w:t>
            </w:r>
          </w:p>
        </w:tc>
        <w:tc>
          <w:tcPr>
            <w:tcW w:w="5617" w:type="dxa"/>
            <w:gridSpan w:val="2"/>
            <w:vAlign w:val="center"/>
          </w:tcPr>
          <w:p>
            <w:pPr>
              <w:widowControl/>
              <w:jc w:val="left"/>
              <w:rPr>
                <w:rFonts w:ascii="宋体" w:hAnsi="宋体" w:cs="宋体"/>
                <w:kern w:val="0"/>
                <w:sz w:val="24"/>
                <w:highlight w:val="none"/>
              </w:rPr>
            </w:pPr>
            <w:r>
              <w:rPr>
                <w:rFonts w:hint="eastAsia" w:ascii="宋体" w:hAnsi="宋体" w:cs="宋体"/>
                <w:kern w:val="0"/>
                <w:sz w:val="24"/>
                <w:highlight w:val="none"/>
              </w:rPr>
              <w:t>-</w:t>
            </w:r>
          </w:p>
        </w:tc>
        <w:tc>
          <w:tcPr>
            <w:tcW w:w="2397" w:type="dxa"/>
            <w:vAlign w:val="center"/>
          </w:tcPr>
          <w:p>
            <w:pPr>
              <w:jc w:val="left"/>
              <w:rPr>
                <w:sz w:val="24"/>
                <w:highlight w:val="none"/>
              </w:rPr>
            </w:pPr>
          </w:p>
        </w:tc>
        <w:tc>
          <w:tcPr>
            <w:tcW w:w="1503" w:type="dxa"/>
            <w:vAlign w:val="center"/>
          </w:tcPr>
          <w:p>
            <w:pPr>
              <w:jc w:val="left"/>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0" w:type="dxa"/>
            <w:gridSpan w:val="5"/>
            <w:vAlign w:val="center"/>
          </w:tcPr>
          <w:p>
            <w:pPr>
              <w:jc w:val="left"/>
              <w:rPr>
                <w:sz w:val="24"/>
                <w:highlight w:val="none"/>
              </w:rPr>
            </w:pPr>
            <w:r>
              <w:rPr>
                <w:rFonts w:hint="eastAsia"/>
                <w:sz w:val="24"/>
                <w:highlight w:val="none"/>
              </w:rPr>
              <w:t>初审发出日期：     2023年 04月10日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0" w:type="dxa"/>
            <w:gridSpan w:val="5"/>
            <w:vAlign w:val="center"/>
          </w:tcPr>
          <w:p>
            <w:pPr>
              <w:jc w:val="left"/>
              <w:rPr>
                <w:sz w:val="24"/>
                <w:highlight w:val="none"/>
              </w:rPr>
            </w:pPr>
            <w:r>
              <w:rPr>
                <w:rFonts w:hint="eastAsia"/>
                <w:sz w:val="24"/>
                <w:highlight w:val="none"/>
              </w:rPr>
              <w:t>复审发出日期：     2023年 04月14日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0" w:type="dxa"/>
            <w:gridSpan w:val="5"/>
            <w:vAlign w:val="center"/>
          </w:tcPr>
          <w:p>
            <w:pPr>
              <w:jc w:val="left"/>
              <w:rPr>
                <w:rFonts w:hint="eastAsia"/>
                <w:sz w:val="24"/>
                <w:highlight w:val="none"/>
              </w:rPr>
            </w:pPr>
            <w:r>
              <w:rPr>
                <w:rFonts w:hint="eastAsia"/>
                <w:sz w:val="24"/>
                <w:highlight w:val="none"/>
              </w:rPr>
              <w:t>三审发出日期：     2023年 04月17日</w:t>
            </w:r>
          </w:p>
        </w:tc>
      </w:tr>
    </w:tbl>
    <w:p>
      <w:pPr>
        <w:ind w:firstLine="480" w:firstLineChars="200"/>
        <w:jc w:val="right"/>
        <w:rPr>
          <w:sz w:val="24"/>
        </w:rPr>
      </w:pPr>
      <w:r>
        <w:rPr>
          <w:rFonts w:hint="eastAsia"/>
          <w:sz w:val="24"/>
        </w:rPr>
        <w:t>第   页，共   页</w:t>
      </w:r>
    </w:p>
    <w:p>
      <w:pPr>
        <w:jc w:val="left"/>
        <w:rPr>
          <w:sz w:val="24"/>
        </w:rPr>
      </w:pPr>
      <w:r>
        <w:rPr>
          <w:rFonts w:hint="eastAsia"/>
          <w:sz w:val="24"/>
        </w:rPr>
        <w:t>审查人：                    设计回复人：</w:t>
      </w:r>
      <w:r>
        <w:rPr>
          <w:rFonts w:hint="eastAsia"/>
          <w:sz w:val="24"/>
          <w:lang w:eastAsia="zh-CN"/>
        </w:rPr>
        <w:t>何妞</w:t>
      </w:r>
      <w:r>
        <w:rPr>
          <w:rFonts w:hint="eastAsia"/>
          <w:sz w:val="24"/>
        </w:rPr>
        <w:t xml:space="preserve">                 复审人：</w:t>
      </w:r>
    </w:p>
    <w:p>
      <w:pPr>
        <w:jc w:val="left"/>
        <w:rPr>
          <w:sz w:val="24"/>
        </w:rPr>
      </w:pPr>
      <w:r>
        <w:rPr>
          <w:rFonts w:hint="eastAsia"/>
          <w:sz w:val="24"/>
        </w:rPr>
        <w:t>（签字并加盖审图机构公章）  （签字并加盖设计单位公章）  （签字并加盖审图机构公章）</w:t>
      </w:r>
    </w:p>
    <w:p>
      <w:pPr>
        <w:jc w:val="left"/>
        <w:rPr>
          <w:sz w:val="24"/>
        </w:rPr>
      </w:pPr>
      <w:r>
        <w:rPr>
          <w:rFonts w:hint="eastAsia"/>
          <w:sz w:val="24"/>
        </w:rPr>
        <w:t>联系电话：                  联系电话：                   日期：</w:t>
      </w:r>
    </w:p>
    <w:p>
      <w:pPr>
        <w:jc w:val="left"/>
        <w:rPr>
          <w:rFonts w:hint="default" w:eastAsia="宋体"/>
          <w:sz w:val="24"/>
          <w:lang w:val="en-US" w:eastAsia="zh-CN"/>
        </w:rPr>
      </w:pPr>
      <w:r>
        <w:rPr>
          <w:rFonts w:hint="eastAsia"/>
          <w:sz w:val="24"/>
        </w:rPr>
        <w:t>日期：                      日期：</w:t>
      </w:r>
      <w:r>
        <w:rPr>
          <w:rFonts w:hint="eastAsia"/>
          <w:sz w:val="24"/>
          <w:lang w:val="en-US" w:eastAsia="zh-CN"/>
        </w:rPr>
        <w:t>13580512201</w:t>
      </w:r>
      <w:bookmarkStart w:id="0" w:name="_GoBack"/>
      <w:bookmarkEnd w:id="0"/>
    </w:p>
    <w:p>
      <w:pPr>
        <w:jc w:val="left"/>
        <w:rPr>
          <w:sz w:val="18"/>
          <w:szCs w:val="18"/>
        </w:rPr>
      </w:pPr>
      <w:r>
        <w:rPr>
          <w:rFonts w:hint="eastAsia"/>
          <w:sz w:val="18"/>
          <w:szCs w:val="18"/>
        </w:rPr>
        <w:t>注：本单附于审查意见告知书，一式四份，一份存审查机构，三份交建设单位。</w:t>
      </w:r>
    </w:p>
    <w:p/>
    <w:p/>
    <w:p/>
    <w:p/>
    <w:p/>
    <w:p/>
    <w:sectPr>
      <w:headerReference r:id="rId3" w:type="default"/>
      <w:footerReference r:id="rId4" w:type="default"/>
      <w:footerReference r:id="rId5" w:type="even"/>
      <w:pgSz w:w="11906" w:h="16838"/>
      <w:pgMar w:top="1440" w:right="799" w:bottom="930" w:left="79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stem">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bCs/>
        <w:sz w:val="24"/>
      </w:rPr>
    </w:pPr>
    <w:r>
      <w:rPr>
        <w:rFonts w:hint="eastAsia"/>
        <w:b/>
        <w:bCs/>
        <w:sz w:val="24"/>
      </w:rPr>
      <w:t xml:space="preserve">广东省住房和城乡建设厅监制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b/>
        <w:bCs/>
        <w:sz w:val="24"/>
      </w:rPr>
      <w:t>广东省住房和城乡建设厅监制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DAC505"/>
    <w:multiLevelType w:val="singleLevel"/>
    <w:tmpl w:val="A7DAC505"/>
    <w:lvl w:ilvl="0" w:tentative="0">
      <w:start w:val="2"/>
      <w:numFmt w:val="chineseCounting"/>
      <w:suff w:val="nothing"/>
      <w:lvlText w:val="%1、"/>
      <w:lvlJc w:val="left"/>
      <w:rPr>
        <w:rFonts w:hint="eastAsia"/>
      </w:rPr>
    </w:lvl>
  </w:abstractNum>
  <w:abstractNum w:abstractNumId="1">
    <w:nsid w:val="A90F58EC"/>
    <w:multiLevelType w:val="singleLevel"/>
    <w:tmpl w:val="A90F58EC"/>
    <w:lvl w:ilvl="0" w:tentative="0">
      <w:start w:val="7"/>
      <w:numFmt w:val="decimal"/>
      <w:suff w:val="nothing"/>
      <w:lvlText w:val="%1）"/>
      <w:lvlJc w:val="left"/>
    </w:lvl>
  </w:abstractNum>
  <w:abstractNum w:abstractNumId="2">
    <w:nsid w:val="BE0D5DA9"/>
    <w:multiLevelType w:val="singleLevel"/>
    <w:tmpl w:val="BE0D5DA9"/>
    <w:lvl w:ilvl="0" w:tentative="0">
      <w:start w:val="2"/>
      <w:numFmt w:val="chineseCounting"/>
      <w:suff w:val="nothing"/>
      <w:lvlText w:val="%1、"/>
      <w:lvlJc w:val="left"/>
      <w:rPr>
        <w:rFonts w:hint="eastAsia"/>
      </w:rPr>
    </w:lvl>
  </w:abstractNum>
  <w:abstractNum w:abstractNumId="3">
    <w:nsid w:val="743BDE84"/>
    <w:multiLevelType w:val="singleLevel"/>
    <w:tmpl w:val="743BDE84"/>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iY2YyYjljNGNkY2YzMjdlOTVhYmRkYTk0YmY2YmEifQ=="/>
  </w:docVars>
  <w:rsids>
    <w:rsidRoot w:val="00172A27"/>
    <w:rsid w:val="00253E35"/>
    <w:rsid w:val="00632599"/>
    <w:rsid w:val="3EE531E8"/>
    <w:rsid w:val="74CC1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header"/>
    <w:basedOn w:val="1"/>
    <w:link w:val="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眉 Char"/>
    <w:basedOn w:val="5"/>
    <w:link w:val="3"/>
    <w:qFormat/>
    <w:uiPriority w:val="0"/>
    <w:rPr>
      <w:rFonts w:ascii="Times New Roman" w:hAnsi="Times New Roman" w:eastAsia="宋体" w:cs="Times New Roman"/>
      <w:sz w:val="18"/>
      <w:szCs w:val="24"/>
    </w:rPr>
  </w:style>
  <w:style w:type="character" w:customStyle="1" w:styleId="7">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2035</Words>
  <Characters>2097</Characters>
  <Lines>16</Lines>
  <Paragraphs>4</Paragraphs>
  <TotalTime>14</TotalTime>
  <ScaleCrop>false</ScaleCrop>
  <LinksUpToDate>false</LinksUpToDate>
  <CharactersWithSpaces>2228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2023-04-17T02:55:00Z</dcterms:created>
  <dc:creator>Administrator</dc:creator>
  <cp:lastModifiedBy>阿拉</cp:lastModifiedBy>
  <dcterms:modified xsi:type="dcterms:W3CDTF">2023-05-24T14:32:23Z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AE46F80574FC447082326617E80CAE90_13</vt:lpwstr>
  </property>
</Properties>
</file>